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BB3A2">
      <w:pPr>
        <w:pStyle w:val="2"/>
        <w:keepLines w:val="0"/>
        <w:widowControl/>
        <w:numPr>
          <w:numId w:val="0"/>
        </w:numPr>
        <w:spacing w:before="0" w:after="0" w:line="360" w:lineRule="auto"/>
        <w:ind w:firstLine="1124" w:firstLineChars="400"/>
        <w:jc w:val="left"/>
        <w:rPr>
          <w:rFonts w:ascii="仿宋" w:hAnsi="仿宋" w:eastAsia="仿宋" w:cs="Times New Roman"/>
          <w:sz w:val="28"/>
          <w:szCs w:val="32"/>
          <w:lang w:val="zh-CN"/>
        </w:rPr>
      </w:pPr>
      <w:bookmarkStart w:id="5" w:name="_GoBack"/>
      <w:bookmarkEnd w:id="5"/>
      <w:bookmarkStart w:id="0" w:name="_Toc194413434"/>
      <w:r>
        <w:rPr>
          <w:rFonts w:hint="eastAsia" w:ascii="宋体" w:hAnsi="宋体" w:eastAsia="宋体" w:cs="Times New Roman"/>
          <w:b/>
          <w:sz w:val="28"/>
          <w:szCs w:val="28"/>
        </w:rPr>
        <w:t>信息中心安全设备更新及授权续约项目</w:t>
      </w:r>
      <w:r>
        <w:rPr>
          <w:rFonts w:hint="eastAsia" w:ascii="宋体" w:hAnsi="宋体" w:eastAsia="宋体" w:cs="Times New Roman"/>
          <w:b/>
          <w:sz w:val="28"/>
          <w:szCs w:val="28"/>
          <w:lang w:val="en-US" w:eastAsia="zh-CN"/>
        </w:rPr>
        <w:t>调研要求</w:t>
      </w:r>
    </w:p>
    <w:p w14:paraId="4EE0C4D2">
      <w:pPr>
        <w:pStyle w:val="2"/>
        <w:keepLines w:val="0"/>
        <w:widowControl/>
        <w:numPr>
          <w:ilvl w:val="0"/>
          <w:numId w:val="1"/>
        </w:numPr>
        <w:spacing w:before="0" w:after="0" w:line="360" w:lineRule="auto"/>
        <w:jc w:val="left"/>
        <w:rPr>
          <w:rFonts w:ascii="仿宋" w:hAnsi="仿宋" w:eastAsia="仿宋" w:cs="Times New Roman"/>
          <w:sz w:val="28"/>
          <w:szCs w:val="32"/>
          <w:lang w:val="zh-CN"/>
        </w:rPr>
      </w:pPr>
      <w:r>
        <w:rPr>
          <w:rFonts w:hint="eastAsia" w:ascii="仿宋" w:hAnsi="仿宋" w:eastAsia="仿宋" w:cs="Times New Roman"/>
          <w:sz w:val="28"/>
          <w:szCs w:val="32"/>
          <w:lang w:val="en-US" w:eastAsia="zh-CN"/>
        </w:rPr>
        <w:t>调研</w:t>
      </w:r>
      <w:r>
        <w:rPr>
          <w:rFonts w:hint="eastAsia" w:ascii="仿宋" w:hAnsi="仿宋" w:eastAsia="仿宋" w:cs="Times New Roman"/>
          <w:sz w:val="28"/>
          <w:szCs w:val="32"/>
          <w:lang w:val="zh-CN"/>
        </w:rPr>
        <w:t>清单</w:t>
      </w:r>
    </w:p>
    <w:p w14:paraId="3221C2F4">
      <w:pPr>
        <w:rPr>
          <w:rFonts w:hint="default" w:eastAsia="仿宋"/>
          <w:lang w:val="en-US" w:eastAsia="zh-CN"/>
        </w:rPr>
      </w:pPr>
      <w:r>
        <w:rPr>
          <w:rFonts w:hint="eastAsia" w:ascii="仿宋" w:hAnsi="仿宋" w:eastAsia="仿宋" w:cs="Times New Roman"/>
          <w:sz w:val="28"/>
          <w:szCs w:val="32"/>
          <w:lang w:val="en-US" w:eastAsia="zh-CN"/>
        </w:rPr>
        <w:t>1.新增安全产品建设</w:t>
      </w:r>
    </w:p>
    <w:tbl>
      <w:tblPr>
        <w:tblStyle w:val="12"/>
        <w:tblW w:w="8461" w:type="dxa"/>
        <w:tblInd w:w="0" w:type="dxa"/>
        <w:tblLayout w:type="fixed"/>
        <w:tblCellMar>
          <w:top w:w="0" w:type="dxa"/>
          <w:left w:w="108" w:type="dxa"/>
          <w:bottom w:w="0" w:type="dxa"/>
          <w:right w:w="108" w:type="dxa"/>
        </w:tblCellMar>
      </w:tblPr>
      <w:tblGrid>
        <w:gridCol w:w="582"/>
        <w:gridCol w:w="1017"/>
        <w:gridCol w:w="762"/>
        <w:gridCol w:w="5238"/>
        <w:gridCol w:w="862"/>
      </w:tblGrid>
      <w:tr w14:paraId="237986B3">
        <w:tblPrEx>
          <w:tblCellMar>
            <w:top w:w="0" w:type="dxa"/>
            <w:left w:w="108" w:type="dxa"/>
            <w:bottom w:w="0" w:type="dxa"/>
            <w:right w:w="108" w:type="dxa"/>
          </w:tblCellMar>
        </w:tblPrEx>
        <w:trPr>
          <w:trHeight w:val="276" w:hRule="atLeast"/>
        </w:trPr>
        <w:tc>
          <w:tcPr>
            <w:tcW w:w="582" w:type="dxa"/>
            <w:tcBorders>
              <w:top w:val="single" w:color="auto" w:sz="4" w:space="0"/>
              <w:left w:val="single" w:color="auto" w:sz="4" w:space="0"/>
              <w:bottom w:val="single" w:color="auto" w:sz="4" w:space="0"/>
              <w:right w:val="single" w:color="auto" w:sz="4" w:space="0"/>
            </w:tcBorders>
            <w:shd w:val="clear" w:color="000000" w:fill="AEAAAA"/>
            <w:vAlign w:val="center"/>
          </w:tcPr>
          <w:p w14:paraId="6C755116">
            <w:pPr>
              <w:widowControl/>
              <w:jc w:val="center"/>
              <w:rPr>
                <w:rFonts w:hint="eastAsia" w:ascii="仿宋" w:hAnsi="仿宋" w:eastAsia="仿宋" w:cs="宋体"/>
                <w:b/>
                <w:bCs/>
                <w:color w:val="000000"/>
                <w:kern w:val="0"/>
                <w:sz w:val="18"/>
                <w:szCs w:val="18"/>
                <w:lang w:eastAsia="zh-CN"/>
              </w:rPr>
            </w:pPr>
            <w:r>
              <w:rPr>
                <w:rFonts w:hint="eastAsia" w:ascii="仿宋" w:hAnsi="仿宋" w:eastAsia="仿宋" w:cs="宋体"/>
                <w:b/>
                <w:bCs/>
                <w:color w:val="000000"/>
                <w:kern w:val="0"/>
                <w:sz w:val="18"/>
                <w:szCs w:val="18"/>
                <w:lang w:eastAsia="zh-CN"/>
              </w:rPr>
              <w:t>序号</w:t>
            </w:r>
          </w:p>
        </w:tc>
        <w:tc>
          <w:tcPr>
            <w:tcW w:w="1017" w:type="dxa"/>
            <w:tcBorders>
              <w:top w:val="single" w:color="auto" w:sz="4" w:space="0"/>
              <w:left w:val="single" w:color="auto" w:sz="4" w:space="0"/>
              <w:bottom w:val="single" w:color="auto" w:sz="4" w:space="0"/>
              <w:right w:val="single" w:color="auto" w:sz="4" w:space="0"/>
            </w:tcBorders>
            <w:shd w:val="clear" w:color="000000" w:fill="AEAAAA"/>
            <w:vAlign w:val="center"/>
          </w:tcPr>
          <w:p w14:paraId="330C8B6B">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762" w:type="dxa"/>
            <w:tcBorders>
              <w:top w:val="single" w:color="auto" w:sz="4" w:space="0"/>
              <w:left w:val="single" w:color="auto" w:sz="4" w:space="0"/>
              <w:bottom w:val="single" w:color="auto" w:sz="4" w:space="0"/>
              <w:right w:val="single" w:color="auto" w:sz="4" w:space="0"/>
            </w:tcBorders>
            <w:shd w:val="clear" w:color="000000" w:fill="AEAAAA"/>
            <w:vAlign w:val="center"/>
          </w:tcPr>
          <w:p w14:paraId="034D6011">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品牌</w:t>
            </w:r>
          </w:p>
        </w:tc>
        <w:tc>
          <w:tcPr>
            <w:tcW w:w="5238" w:type="dxa"/>
            <w:tcBorders>
              <w:top w:val="single" w:color="auto" w:sz="4" w:space="0"/>
              <w:left w:val="single" w:color="auto" w:sz="4" w:space="0"/>
              <w:bottom w:val="single" w:color="auto" w:sz="4" w:space="0"/>
              <w:right w:val="single" w:color="auto" w:sz="4" w:space="0"/>
            </w:tcBorders>
            <w:shd w:val="clear" w:color="000000" w:fill="AEAAAA"/>
            <w:vAlign w:val="center"/>
          </w:tcPr>
          <w:p w14:paraId="4A6B17A2">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设备参数</w:t>
            </w:r>
          </w:p>
        </w:tc>
        <w:tc>
          <w:tcPr>
            <w:tcW w:w="862" w:type="dxa"/>
            <w:tcBorders>
              <w:top w:val="single" w:color="auto" w:sz="4" w:space="0"/>
              <w:left w:val="single" w:color="auto" w:sz="4" w:space="0"/>
              <w:bottom w:val="single" w:color="auto" w:sz="4" w:space="0"/>
              <w:right w:val="single" w:color="auto" w:sz="4" w:space="0"/>
            </w:tcBorders>
            <w:shd w:val="clear" w:color="000000" w:fill="AEAAAA"/>
            <w:vAlign w:val="center"/>
          </w:tcPr>
          <w:p w14:paraId="0976892F">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r>
      <w:tr w14:paraId="602CDF50">
        <w:tblPrEx>
          <w:tblCellMar>
            <w:top w:w="0" w:type="dxa"/>
            <w:left w:w="108" w:type="dxa"/>
            <w:bottom w:w="0" w:type="dxa"/>
            <w:right w:w="108" w:type="dxa"/>
          </w:tblCellMar>
        </w:tblPrEx>
        <w:trPr>
          <w:trHeight w:val="2592" w:hRule="atLeast"/>
        </w:trPr>
        <w:tc>
          <w:tcPr>
            <w:tcW w:w="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EE5F7">
            <w:pPr>
              <w:widowControl/>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1</w:t>
            </w:r>
          </w:p>
        </w:tc>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3846F">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堡垒机</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3BFC82F9">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国产</w:t>
            </w:r>
          </w:p>
        </w:tc>
        <w:tc>
          <w:tcPr>
            <w:tcW w:w="5238" w:type="dxa"/>
            <w:tcBorders>
              <w:top w:val="single" w:color="auto" w:sz="4" w:space="0"/>
              <w:left w:val="single" w:color="auto" w:sz="4" w:space="0"/>
              <w:bottom w:val="single" w:color="auto" w:sz="4" w:space="0"/>
              <w:right w:val="single" w:color="auto" w:sz="4" w:space="0"/>
            </w:tcBorders>
            <w:shd w:val="clear" w:color="auto" w:fill="auto"/>
            <w:vAlign w:val="center"/>
          </w:tcPr>
          <w:p w14:paraId="61394C78">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2U 一体机设备，八核CPU（海光），4T硬盘，16G内存，2个以太网电口，2个千兆光口，冗余电源， 安装统信操作系统，提供300个License设备管理许可、支持字符、图形、文件传输、数据库运维、应用审计，持linux、unix、网络设备的自动改密；内置麒麟应用中心；双因素认证、数据库运维审计；支持双因素认证，支持H5-WEB运维记录自带水印、支持密码会同和密码工单，支持提供API接口，支持双机热备，集群部署并支持自带负载均衡，分级部署；含首次安装调试及培训；包含3年 硬件质保，重大故障现场技术支持，软件升级，硬件保修</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6E377268">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r>
      <w:tr w14:paraId="172FC76C">
        <w:tblPrEx>
          <w:tblCellMar>
            <w:top w:w="0" w:type="dxa"/>
            <w:left w:w="108" w:type="dxa"/>
            <w:bottom w:w="0" w:type="dxa"/>
            <w:right w:w="108" w:type="dxa"/>
          </w:tblCellMar>
        </w:tblPrEx>
        <w:trPr>
          <w:trHeight w:val="699" w:hRule="atLeast"/>
        </w:trPr>
        <w:tc>
          <w:tcPr>
            <w:tcW w:w="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602E5">
            <w:pPr>
              <w:widowControl/>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2</w:t>
            </w:r>
          </w:p>
        </w:tc>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11D47">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WAF</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7C0CED01">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国产</w:t>
            </w:r>
          </w:p>
        </w:tc>
        <w:tc>
          <w:tcPr>
            <w:tcW w:w="5238" w:type="dxa"/>
            <w:tcBorders>
              <w:top w:val="single" w:color="auto" w:sz="4" w:space="0"/>
              <w:left w:val="single" w:color="auto" w:sz="4" w:space="0"/>
              <w:bottom w:val="single" w:color="auto" w:sz="4" w:space="0"/>
              <w:right w:val="single" w:color="auto" w:sz="4" w:space="0"/>
            </w:tcBorders>
            <w:shd w:val="clear" w:color="auto" w:fill="auto"/>
            <w:vAlign w:val="center"/>
          </w:tcPr>
          <w:p w14:paraId="16ED32C1">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动态应用保护系统一体机，包含动态WAF软件，支持国产操作系统和国产安全服务器；安全服务器，含1台国产CPU，8核、16GB内存、标配1个2TB硬盘服务器，6个千兆网口，4个千兆光口，支持2个扩展网卡，可选配外接千兆及万兆网卡，冗余电源；吞吐量不低于2.0Gbps。并发TCP会话数：大于100万。HTTP新建连接速率：大于12000连接/秒。TPS处理性能：大于20000请求/秒；3年质保服务。</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24C0E577">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r>
      <w:tr w14:paraId="694356ED">
        <w:tblPrEx>
          <w:tblCellMar>
            <w:top w:w="0" w:type="dxa"/>
            <w:left w:w="108" w:type="dxa"/>
            <w:bottom w:w="0" w:type="dxa"/>
            <w:right w:w="108" w:type="dxa"/>
          </w:tblCellMar>
        </w:tblPrEx>
        <w:trPr>
          <w:trHeight w:val="2376" w:hRule="atLeast"/>
        </w:trPr>
        <w:tc>
          <w:tcPr>
            <w:tcW w:w="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692C9">
            <w:pPr>
              <w:widowControl/>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3</w:t>
            </w:r>
          </w:p>
        </w:tc>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C8AEFB">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安全协同情报网关</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7AED993D">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国产</w:t>
            </w:r>
          </w:p>
        </w:tc>
        <w:tc>
          <w:tcPr>
            <w:tcW w:w="5238" w:type="dxa"/>
            <w:tcBorders>
              <w:top w:val="single" w:color="auto" w:sz="4" w:space="0"/>
              <w:left w:val="single" w:color="auto" w:sz="4" w:space="0"/>
              <w:bottom w:val="single" w:color="auto" w:sz="4" w:space="0"/>
              <w:right w:val="single" w:color="auto" w:sz="4" w:space="0"/>
            </w:tcBorders>
            <w:shd w:val="clear" w:color="auto" w:fill="auto"/>
            <w:vAlign w:val="center"/>
          </w:tcPr>
          <w:p w14:paraId="081CB2FF">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串行部署或旁路部署方式（部署方式二选一，可灵活切换），最大支持3GB吞吐能力，支持IP资产管理，持续提供高置信度行业协同安全威胁情报，串行部署支持自动化阻断、旁路部署支持旁路阻断、联动第三方防火墙智能阻断能力。通过外部“安全协同”的形式，构建医疗行业安全协同防御网络，利用多医疗行业用户“联合建模”能力快速发现行业共性外部攻击及未知威胁，实现基于情报的联防联控6个千兆电口，4个万兆光口，两个扩展槽，交流冗余电源，3年质保服务。</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500BA199">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r>
      <w:tr w14:paraId="781DDCF1">
        <w:tblPrEx>
          <w:tblCellMar>
            <w:top w:w="0" w:type="dxa"/>
            <w:left w:w="108" w:type="dxa"/>
            <w:bottom w:w="0" w:type="dxa"/>
            <w:right w:w="108" w:type="dxa"/>
          </w:tblCellMar>
        </w:tblPrEx>
        <w:trPr>
          <w:trHeight w:val="1080" w:hRule="atLeast"/>
        </w:trPr>
        <w:tc>
          <w:tcPr>
            <w:tcW w:w="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EBB70">
            <w:pPr>
              <w:widowControl/>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4</w:t>
            </w:r>
          </w:p>
        </w:tc>
        <w:tc>
          <w:tcPr>
            <w:tcW w:w="10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D2CAA">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网络威胁检测与响应系统</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159753CC">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国产</w:t>
            </w:r>
          </w:p>
        </w:tc>
        <w:tc>
          <w:tcPr>
            <w:tcW w:w="5238" w:type="dxa"/>
            <w:tcBorders>
              <w:top w:val="single" w:color="auto" w:sz="4" w:space="0"/>
              <w:left w:val="single" w:color="auto" w:sz="4" w:space="0"/>
              <w:bottom w:val="single" w:color="auto" w:sz="4" w:space="0"/>
              <w:right w:val="single" w:color="auto" w:sz="4" w:space="0"/>
            </w:tcBorders>
            <w:shd w:val="clear" w:color="auto" w:fill="auto"/>
            <w:vAlign w:val="center"/>
          </w:tcPr>
          <w:p w14:paraId="69766B02">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为用户提供基于本地网络的攻击面发现和管理能力、实时流量分析能力和阻断防御能力。云端运营服务由云端运营专家提供。通过安全云平台为网络威胁检测与响应系统提供不断迭代的威胁分析能力、最新的扩展威胁情报和全网协同防御能力；云端专家通过平台为用户提供</w:t>
            </w:r>
            <w:r>
              <w:rPr>
                <w:rFonts w:ascii="仿宋" w:hAnsi="仿宋" w:eastAsia="仿宋" w:cs="宋体"/>
                <w:color w:val="000000"/>
                <w:kern w:val="0"/>
                <w:sz w:val="18"/>
                <w:szCs w:val="18"/>
              </w:rPr>
              <w:t>7*24运营值守，安全事件大数据分析、安全威胁预警、防御策略编排和下发，重保攻防时期的协助指挥作战。支持旁路部署或串行部署方式（部署方式二选一，可灵活切换），旁路部署模式支持全流量解析，串行部署模式支持南北向流量解析，最大支持1GB吞吐能力，4个千兆电口，2个万兆光口，交</w:t>
            </w:r>
            <w:r>
              <w:rPr>
                <w:rFonts w:hint="eastAsia" w:ascii="仿宋" w:hAnsi="仿宋" w:eastAsia="仿宋" w:cs="宋体"/>
                <w:color w:val="000000"/>
                <w:kern w:val="0"/>
                <w:sz w:val="18"/>
                <w:szCs w:val="18"/>
              </w:rPr>
              <w:t>流单电源，</w:t>
            </w:r>
            <w:r>
              <w:rPr>
                <w:rFonts w:ascii="仿宋" w:hAnsi="仿宋" w:eastAsia="仿宋" w:cs="宋体"/>
                <w:color w:val="000000"/>
                <w:kern w:val="0"/>
                <w:sz w:val="18"/>
                <w:szCs w:val="18"/>
              </w:rPr>
              <w:t>3年质保服务。</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7EF42AE0">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r>
    </w:tbl>
    <w:p w14:paraId="1B47866A">
      <w:pPr>
        <w:rPr>
          <w:lang w:val="zh-CN"/>
        </w:rPr>
      </w:pPr>
    </w:p>
    <w:p w14:paraId="76521CE1">
      <w:pPr>
        <w:pStyle w:val="2"/>
        <w:keepLines w:val="0"/>
        <w:widowControl/>
        <w:numPr>
          <w:ilvl w:val="0"/>
          <w:numId w:val="0"/>
        </w:numPr>
        <w:spacing w:before="0" w:after="0" w:line="360" w:lineRule="auto"/>
        <w:ind w:leftChars="0"/>
        <w:jc w:val="left"/>
        <w:rPr>
          <w:rFonts w:hint="default" w:ascii="仿宋" w:hAnsi="仿宋" w:eastAsia="仿宋" w:cs="Times New Roman"/>
          <w:b w:val="0"/>
          <w:bCs w:val="0"/>
          <w:kern w:val="2"/>
          <w:sz w:val="28"/>
          <w:szCs w:val="32"/>
          <w:lang w:val="en-US" w:eastAsia="zh-CN" w:bidi="ar-SA"/>
        </w:rPr>
      </w:pPr>
      <w:r>
        <w:rPr>
          <w:rFonts w:hint="eastAsia" w:ascii="仿宋" w:hAnsi="仿宋" w:eastAsia="仿宋" w:cs="Times New Roman"/>
          <w:b w:val="0"/>
          <w:bCs w:val="0"/>
          <w:kern w:val="2"/>
          <w:sz w:val="28"/>
          <w:szCs w:val="32"/>
          <w:lang w:val="en-US" w:eastAsia="zh-CN" w:bidi="ar-SA"/>
        </w:rPr>
        <w:t>2.特征库延保、扩容</w:t>
      </w:r>
    </w:p>
    <w:tbl>
      <w:tblPr>
        <w:tblStyle w:val="12"/>
        <w:tblW w:w="8449" w:type="dxa"/>
        <w:tblInd w:w="0" w:type="dxa"/>
        <w:tblLayout w:type="fixed"/>
        <w:tblCellMar>
          <w:top w:w="0" w:type="dxa"/>
          <w:left w:w="108" w:type="dxa"/>
          <w:bottom w:w="0" w:type="dxa"/>
          <w:right w:w="108" w:type="dxa"/>
        </w:tblCellMar>
      </w:tblPr>
      <w:tblGrid>
        <w:gridCol w:w="586"/>
        <w:gridCol w:w="1454"/>
        <w:gridCol w:w="622"/>
        <w:gridCol w:w="4924"/>
        <w:gridCol w:w="863"/>
      </w:tblGrid>
      <w:tr w14:paraId="6DAD8065">
        <w:tblPrEx>
          <w:tblCellMar>
            <w:top w:w="0" w:type="dxa"/>
            <w:left w:w="108" w:type="dxa"/>
            <w:bottom w:w="0" w:type="dxa"/>
            <w:right w:w="108" w:type="dxa"/>
          </w:tblCellMar>
        </w:tblPrEx>
        <w:trPr>
          <w:trHeight w:val="539" w:hRule="atLeast"/>
        </w:trPr>
        <w:tc>
          <w:tcPr>
            <w:tcW w:w="586" w:type="dxa"/>
            <w:tcBorders>
              <w:top w:val="single" w:color="auto" w:sz="4" w:space="0"/>
              <w:left w:val="single" w:color="auto" w:sz="4" w:space="0"/>
              <w:bottom w:val="single" w:color="auto" w:sz="4" w:space="0"/>
              <w:right w:val="single" w:color="auto" w:sz="4" w:space="0"/>
            </w:tcBorders>
            <w:shd w:val="clear" w:color="000000" w:fill="AEAAAA"/>
            <w:vAlign w:val="center"/>
          </w:tcPr>
          <w:p w14:paraId="72AB08EE">
            <w:pPr>
              <w:widowControl/>
              <w:jc w:val="center"/>
              <w:rPr>
                <w:rFonts w:hint="eastAsia" w:ascii="仿宋" w:hAnsi="仿宋" w:eastAsia="仿宋" w:cs="宋体"/>
                <w:b/>
                <w:bCs/>
                <w:color w:val="000000"/>
                <w:kern w:val="0"/>
                <w:sz w:val="18"/>
                <w:szCs w:val="18"/>
                <w:lang w:val="en-US" w:eastAsia="zh-CN" w:bidi="ar-SA"/>
              </w:rPr>
            </w:pPr>
            <w:r>
              <w:rPr>
                <w:rFonts w:hint="eastAsia" w:ascii="仿宋" w:hAnsi="仿宋" w:eastAsia="仿宋" w:cs="宋体"/>
                <w:b/>
                <w:bCs/>
                <w:color w:val="000000"/>
                <w:kern w:val="0"/>
                <w:sz w:val="18"/>
                <w:szCs w:val="18"/>
                <w:lang w:eastAsia="zh-CN"/>
              </w:rPr>
              <w:t>序号</w:t>
            </w:r>
          </w:p>
        </w:tc>
        <w:tc>
          <w:tcPr>
            <w:tcW w:w="1454" w:type="dxa"/>
            <w:tcBorders>
              <w:top w:val="single" w:color="auto" w:sz="4" w:space="0"/>
              <w:left w:val="single" w:color="auto" w:sz="4" w:space="0"/>
              <w:bottom w:val="single" w:color="auto" w:sz="4" w:space="0"/>
              <w:right w:val="single" w:color="auto" w:sz="4" w:space="0"/>
            </w:tcBorders>
            <w:shd w:val="clear" w:color="000000" w:fill="AEAAAA"/>
            <w:vAlign w:val="center"/>
          </w:tcPr>
          <w:p w14:paraId="72487437">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2" w:type="dxa"/>
            <w:tcBorders>
              <w:top w:val="single" w:color="auto" w:sz="4" w:space="0"/>
              <w:left w:val="single" w:color="auto" w:sz="4" w:space="0"/>
              <w:bottom w:val="single" w:color="auto" w:sz="4" w:space="0"/>
              <w:right w:val="single" w:color="auto" w:sz="4" w:space="0"/>
            </w:tcBorders>
            <w:shd w:val="clear" w:color="000000" w:fill="AEAAAA"/>
            <w:vAlign w:val="center"/>
          </w:tcPr>
          <w:p w14:paraId="5DC3ADED">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品牌</w:t>
            </w:r>
          </w:p>
        </w:tc>
        <w:tc>
          <w:tcPr>
            <w:tcW w:w="4924" w:type="dxa"/>
            <w:tcBorders>
              <w:top w:val="single" w:color="auto" w:sz="4" w:space="0"/>
              <w:left w:val="single" w:color="auto" w:sz="4" w:space="0"/>
              <w:bottom w:val="single" w:color="auto" w:sz="4" w:space="0"/>
              <w:right w:val="single" w:color="auto" w:sz="4" w:space="0"/>
            </w:tcBorders>
            <w:shd w:val="clear" w:color="000000" w:fill="AEAAAA"/>
            <w:vAlign w:val="center"/>
          </w:tcPr>
          <w:p w14:paraId="0A07BE2A">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设备参数</w:t>
            </w:r>
          </w:p>
        </w:tc>
        <w:tc>
          <w:tcPr>
            <w:tcW w:w="863" w:type="dxa"/>
            <w:tcBorders>
              <w:top w:val="single" w:color="auto" w:sz="4" w:space="0"/>
              <w:left w:val="single" w:color="auto" w:sz="4" w:space="0"/>
              <w:bottom w:val="single" w:color="auto" w:sz="4" w:space="0"/>
              <w:right w:val="single" w:color="auto" w:sz="4" w:space="0"/>
            </w:tcBorders>
            <w:shd w:val="clear" w:color="000000" w:fill="AEAAAA"/>
            <w:vAlign w:val="center"/>
          </w:tcPr>
          <w:p w14:paraId="6FF41C3E">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r>
      <w:tr w14:paraId="32EC0B8B">
        <w:tblPrEx>
          <w:tblCellMar>
            <w:top w:w="0" w:type="dxa"/>
            <w:left w:w="108" w:type="dxa"/>
            <w:bottom w:w="0" w:type="dxa"/>
            <w:right w:w="108" w:type="dxa"/>
          </w:tblCellMar>
        </w:tblPrEx>
        <w:trPr>
          <w:trHeight w:val="276" w:hRule="atLeast"/>
        </w:trPr>
        <w:tc>
          <w:tcPr>
            <w:tcW w:w="5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64E33">
            <w:pPr>
              <w:widowControl/>
              <w:jc w:val="center"/>
              <w:rPr>
                <w:rFonts w:hint="eastAsia" w:ascii="仿宋" w:hAnsi="仿宋" w:eastAsia="仿宋" w:cs="宋体"/>
                <w:color w:val="000000"/>
                <w:kern w:val="0"/>
                <w:sz w:val="18"/>
                <w:szCs w:val="18"/>
                <w:lang w:val="en-US" w:eastAsia="zh-CN" w:bidi="ar-SA"/>
              </w:rPr>
            </w:pPr>
            <w:r>
              <w:rPr>
                <w:rFonts w:hint="eastAsia" w:ascii="仿宋" w:hAnsi="仿宋" w:eastAsia="仿宋" w:cs="宋体"/>
                <w:color w:val="000000"/>
                <w:kern w:val="0"/>
                <w:sz w:val="18"/>
                <w:szCs w:val="18"/>
                <w:lang w:val="en-US" w:eastAsia="zh-CN"/>
              </w:rPr>
              <w:t>1</w:t>
            </w:r>
          </w:p>
        </w:tc>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3B356">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杀毒授权许可</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14:paraId="40087E8F">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360</w:t>
            </w:r>
          </w:p>
        </w:tc>
        <w:tc>
          <w:tcPr>
            <w:tcW w:w="4924" w:type="dxa"/>
            <w:tcBorders>
              <w:top w:val="single" w:color="auto" w:sz="4" w:space="0"/>
              <w:left w:val="single" w:color="auto" w:sz="4" w:space="0"/>
              <w:bottom w:val="single" w:color="auto" w:sz="4" w:space="0"/>
              <w:right w:val="single" w:color="auto" w:sz="4" w:space="0"/>
            </w:tcBorders>
            <w:shd w:val="clear" w:color="auto" w:fill="auto"/>
            <w:vAlign w:val="center"/>
          </w:tcPr>
          <w:p w14:paraId="2D8CE580">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新增100个点360杀毒Linux授权</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0A251347">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r>
      <w:tr w14:paraId="64146A0E">
        <w:tblPrEx>
          <w:tblCellMar>
            <w:top w:w="0" w:type="dxa"/>
            <w:left w:w="108" w:type="dxa"/>
            <w:bottom w:w="0" w:type="dxa"/>
            <w:right w:w="108" w:type="dxa"/>
          </w:tblCellMar>
        </w:tblPrEx>
        <w:trPr>
          <w:trHeight w:val="432" w:hRule="atLeast"/>
        </w:trPr>
        <w:tc>
          <w:tcPr>
            <w:tcW w:w="5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45E67">
            <w:pPr>
              <w:widowControl/>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2</w:t>
            </w:r>
          </w:p>
        </w:tc>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ACFD7">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杀毒授权许可</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14:paraId="7A5CB99F">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360</w:t>
            </w:r>
          </w:p>
        </w:tc>
        <w:tc>
          <w:tcPr>
            <w:tcW w:w="4924" w:type="dxa"/>
            <w:tcBorders>
              <w:top w:val="single" w:color="auto" w:sz="4" w:space="0"/>
              <w:left w:val="single" w:color="auto" w:sz="4" w:space="0"/>
              <w:bottom w:val="single" w:color="auto" w:sz="4" w:space="0"/>
              <w:right w:val="single" w:color="auto" w:sz="4" w:space="0"/>
            </w:tcBorders>
            <w:shd w:val="clear" w:color="auto" w:fill="auto"/>
            <w:vAlign w:val="center"/>
          </w:tcPr>
          <w:p w14:paraId="388198E6">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360杀毒授权一年续保，（终端 2000，windows服务器 200，linux 30）</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55C8721D">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r>
      <w:tr w14:paraId="6502D5BA">
        <w:tblPrEx>
          <w:tblCellMar>
            <w:top w:w="0" w:type="dxa"/>
            <w:left w:w="108" w:type="dxa"/>
            <w:bottom w:w="0" w:type="dxa"/>
            <w:right w:w="108" w:type="dxa"/>
          </w:tblCellMar>
        </w:tblPrEx>
        <w:trPr>
          <w:trHeight w:val="276" w:hRule="atLeast"/>
        </w:trPr>
        <w:tc>
          <w:tcPr>
            <w:tcW w:w="5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BDF0C">
            <w:pPr>
              <w:widowControl/>
              <w:jc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3</w:t>
            </w:r>
          </w:p>
        </w:tc>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1D11D">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上网行为管理</w:t>
            </w:r>
          </w:p>
        </w:tc>
        <w:tc>
          <w:tcPr>
            <w:tcW w:w="622" w:type="dxa"/>
            <w:tcBorders>
              <w:top w:val="single" w:color="auto" w:sz="4" w:space="0"/>
              <w:left w:val="single" w:color="auto" w:sz="4" w:space="0"/>
              <w:bottom w:val="single" w:color="auto" w:sz="4" w:space="0"/>
              <w:right w:val="single" w:color="auto" w:sz="4" w:space="0"/>
            </w:tcBorders>
            <w:shd w:val="clear" w:color="auto" w:fill="auto"/>
            <w:vAlign w:val="center"/>
          </w:tcPr>
          <w:p w14:paraId="4E41CFE5">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网御星云</w:t>
            </w:r>
          </w:p>
        </w:tc>
        <w:tc>
          <w:tcPr>
            <w:tcW w:w="4924" w:type="dxa"/>
            <w:tcBorders>
              <w:top w:val="single" w:color="auto" w:sz="4" w:space="0"/>
              <w:left w:val="single" w:color="auto" w:sz="4" w:space="0"/>
              <w:bottom w:val="single" w:color="auto" w:sz="4" w:space="0"/>
              <w:right w:val="single" w:color="auto" w:sz="4" w:space="0"/>
            </w:tcBorders>
            <w:shd w:val="clear" w:color="auto" w:fill="auto"/>
            <w:vAlign w:val="center"/>
          </w:tcPr>
          <w:p w14:paraId="4788BA18">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网御LeadsecACM-N6010特征库续保</w:t>
            </w: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09844A39">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r>
    </w:tbl>
    <w:p w14:paraId="40F31F3F">
      <w:pPr>
        <w:numPr>
          <w:ilvl w:val="0"/>
          <w:numId w:val="0"/>
        </w:numPr>
        <w:rPr>
          <w:rFonts w:hint="default"/>
          <w:lang w:val="en-US" w:eastAsia="zh-CN"/>
        </w:rPr>
      </w:pPr>
    </w:p>
    <w:p w14:paraId="4C6F9252">
      <w:pPr>
        <w:pStyle w:val="2"/>
        <w:keepLines w:val="0"/>
        <w:widowControl/>
        <w:numPr>
          <w:ilvl w:val="0"/>
          <w:numId w:val="1"/>
        </w:numPr>
        <w:spacing w:before="0" w:after="0" w:line="360" w:lineRule="auto"/>
        <w:jc w:val="left"/>
        <w:rPr>
          <w:rFonts w:ascii="仿宋" w:hAnsi="仿宋" w:eastAsia="仿宋" w:cs="Times New Roman"/>
          <w:sz w:val="28"/>
          <w:szCs w:val="32"/>
          <w:lang w:val="zh-CN"/>
        </w:rPr>
      </w:pPr>
      <w:r>
        <w:rPr>
          <w:rFonts w:hint="eastAsia" w:ascii="仿宋" w:hAnsi="仿宋" w:eastAsia="仿宋" w:cs="Times New Roman"/>
          <w:sz w:val="28"/>
          <w:szCs w:val="32"/>
          <w:lang w:val="zh-CN"/>
        </w:rPr>
        <w:t>实施及质保服务</w:t>
      </w:r>
    </w:p>
    <w:p w14:paraId="286AA11F">
      <w:pPr>
        <w:spacing w:line="360" w:lineRule="auto"/>
        <w:ind w:firstLine="440" w:firstLineChars="200"/>
        <w:rPr>
          <w:rFonts w:ascii="仿宋" w:hAnsi="仿宋" w:eastAsia="仿宋"/>
          <w:sz w:val="22"/>
          <w:szCs w:val="32"/>
        </w:rPr>
      </w:pPr>
      <w:r>
        <w:rPr>
          <w:rFonts w:ascii="仿宋" w:hAnsi="仿宋" w:eastAsia="仿宋"/>
          <w:sz w:val="22"/>
          <w:szCs w:val="32"/>
        </w:rPr>
        <w:t>1</w:t>
      </w:r>
      <w:r>
        <w:rPr>
          <w:rFonts w:hint="eastAsia" w:ascii="仿宋" w:hAnsi="仿宋" w:eastAsia="仿宋"/>
          <w:sz w:val="22"/>
          <w:szCs w:val="32"/>
        </w:rPr>
        <w:t>、原厂质保服务</w:t>
      </w:r>
    </w:p>
    <w:p w14:paraId="6F4D265C">
      <w:pPr>
        <w:spacing w:line="360" w:lineRule="auto"/>
        <w:ind w:firstLine="440" w:firstLineChars="200"/>
        <w:rPr>
          <w:rFonts w:ascii="仿宋" w:hAnsi="仿宋" w:eastAsia="仿宋"/>
          <w:sz w:val="22"/>
          <w:szCs w:val="32"/>
        </w:rPr>
      </w:pPr>
      <w:bookmarkStart w:id="1" w:name="OLE_LINK2"/>
      <w:bookmarkStart w:id="2" w:name="OLE_LINK1"/>
      <w:r>
        <w:rPr>
          <w:rFonts w:hint="eastAsia" w:ascii="仿宋" w:hAnsi="仿宋" w:eastAsia="仿宋"/>
          <w:sz w:val="22"/>
          <w:szCs w:val="32"/>
        </w:rPr>
        <w:t>所投产品中，安全产品特征库延保、扩容提供一年原厂特征库延保或授权，如设备在服务期内，从保修结束期往后顺延一年；新增安全设备提供</w:t>
      </w:r>
      <w:r>
        <w:rPr>
          <w:rFonts w:ascii="仿宋" w:hAnsi="仿宋" w:eastAsia="仿宋"/>
          <w:sz w:val="22"/>
          <w:szCs w:val="32"/>
        </w:rPr>
        <w:t>3</w:t>
      </w:r>
      <w:r>
        <w:rPr>
          <w:rFonts w:hint="eastAsia" w:ascii="仿宋" w:hAnsi="仿宋" w:eastAsia="仿宋"/>
          <w:sz w:val="22"/>
          <w:szCs w:val="32"/>
        </w:rPr>
        <w:t>年质保服务。以上产品均需提供7*24*4技术支持和工程师的现场故障部件更换服务。</w:t>
      </w:r>
    </w:p>
    <w:bookmarkEnd w:id="1"/>
    <w:bookmarkEnd w:id="2"/>
    <w:p w14:paraId="2B4F5BBC">
      <w:pPr>
        <w:spacing w:line="360" w:lineRule="auto"/>
        <w:ind w:firstLine="440" w:firstLineChars="200"/>
        <w:rPr>
          <w:rFonts w:ascii="仿宋" w:hAnsi="仿宋" w:eastAsia="仿宋"/>
          <w:sz w:val="22"/>
          <w:szCs w:val="32"/>
        </w:rPr>
      </w:pPr>
      <w:r>
        <w:rPr>
          <w:rFonts w:ascii="仿宋" w:hAnsi="仿宋" w:eastAsia="仿宋"/>
          <w:sz w:val="22"/>
          <w:szCs w:val="32"/>
        </w:rPr>
        <w:t>2</w:t>
      </w:r>
      <w:r>
        <w:rPr>
          <w:rFonts w:hint="eastAsia" w:ascii="仿宋" w:hAnsi="仿宋" w:eastAsia="仿宋"/>
          <w:sz w:val="22"/>
          <w:szCs w:val="32"/>
        </w:rPr>
        <w:t>、实施及售后服务</w:t>
      </w:r>
    </w:p>
    <w:p w14:paraId="1E7EFBE3">
      <w:pPr>
        <w:spacing w:line="360" w:lineRule="auto"/>
        <w:ind w:firstLine="440" w:firstLineChars="200"/>
        <w:rPr>
          <w:rFonts w:ascii="仿宋" w:hAnsi="仿宋" w:eastAsia="仿宋"/>
          <w:sz w:val="22"/>
          <w:szCs w:val="32"/>
        </w:rPr>
      </w:pPr>
      <w:r>
        <w:rPr>
          <w:rFonts w:hint="eastAsia" w:ascii="仿宋" w:hAnsi="仿宋" w:eastAsia="仿宋"/>
          <w:sz w:val="22"/>
          <w:szCs w:val="32"/>
        </w:rPr>
        <w:t>（</w:t>
      </w:r>
      <w:r>
        <w:rPr>
          <w:rFonts w:ascii="仿宋" w:hAnsi="仿宋" w:eastAsia="仿宋"/>
          <w:sz w:val="22"/>
          <w:szCs w:val="32"/>
        </w:rPr>
        <w:t>1</w:t>
      </w:r>
      <w:r>
        <w:rPr>
          <w:rFonts w:hint="eastAsia" w:ascii="仿宋" w:hAnsi="仿宋" w:eastAsia="仿宋"/>
          <w:sz w:val="22"/>
          <w:szCs w:val="32"/>
        </w:rPr>
        <w:t>）对扩容设备提供原厂扩容授权，并针对购买了扩容授权的设备，提供完整的授权导入升级、新增扩容项初始化上线、调试和相关的技术支持服务；</w:t>
      </w:r>
    </w:p>
    <w:p w14:paraId="7E6DDAE5">
      <w:pPr>
        <w:spacing w:line="360" w:lineRule="auto"/>
        <w:ind w:firstLine="440" w:firstLineChars="200"/>
        <w:rPr>
          <w:rFonts w:ascii="仿宋" w:hAnsi="仿宋" w:eastAsia="仿宋"/>
          <w:sz w:val="22"/>
          <w:szCs w:val="32"/>
        </w:rPr>
      </w:pPr>
      <w:r>
        <w:rPr>
          <w:rFonts w:hint="eastAsia" w:ascii="仿宋" w:hAnsi="仿宋" w:eastAsia="仿宋"/>
          <w:sz w:val="22"/>
          <w:szCs w:val="32"/>
        </w:rPr>
        <w:t>（2）新增设备是对现有网络安全的补强，正式实施前，拟投设备需进行功能测试，确保设备功能跟现有安全产品形成联动，完善和增强医院网络安全功能，整个实施过程需确保医院业务运行无感；</w:t>
      </w:r>
    </w:p>
    <w:p w14:paraId="404C546E">
      <w:pPr>
        <w:spacing w:line="360" w:lineRule="auto"/>
        <w:ind w:firstLine="440" w:firstLineChars="200"/>
        <w:rPr>
          <w:rFonts w:ascii="仿宋" w:hAnsi="仿宋" w:eastAsia="仿宋"/>
          <w:sz w:val="22"/>
          <w:szCs w:val="32"/>
        </w:rPr>
      </w:pPr>
      <w:r>
        <w:rPr>
          <w:rFonts w:hint="eastAsia" w:ascii="仿宋" w:hAnsi="仿宋" w:eastAsia="仿宋"/>
          <w:sz w:val="22"/>
          <w:szCs w:val="32"/>
        </w:rPr>
        <w:t>（</w:t>
      </w:r>
      <w:r>
        <w:rPr>
          <w:rFonts w:ascii="仿宋" w:hAnsi="仿宋" w:eastAsia="仿宋"/>
          <w:sz w:val="22"/>
          <w:szCs w:val="32"/>
        </w:rPr>
        <w:t>3</w:t>
      </w:r>
      <w:r>
        <w:rPr>
          <w:rFonts w:hint="eastAsia" w:ascii="仿宋" w:hAnsi="仿宋" w:eastAsia="仿宋"/>
          <w:sz w:val="22"/>
          <w:szCs w:val="32"/>
        </w:rPr>
        <w:t>）</w:t>
      </w:r>
      <w:bookmarkStart w:id="3" w:name="OLE_LINK3"/>
      <w:bookmarkStart w:id="4" w:name="OLE_LINK4"/>
      <w:r>
        <w:rPr>
          <w:rFonts w:hint="eastAsia" w:ascii="仿宋" w:hAnsi="仿宋" w:eastAsia="仿宋"/>
          <w:sz w:val="22"/>
          <w:szCs w:val="32"/>
        </w:rPr>
        <w:t>建立应急响应机制，1小时需要达到现场，当业务系统、硬件设备和网络安全系统遇到重大故障时，需及时提供备机，应急响应服务。</w:t>
      </w:r>
    </w:p>
    <w:bookmarkEnd w:id="3"/>
    <w:bookmarkEnd w:id="4"/>
    <w:p w14:paraId="4E8C1FDD">
      <w:pPr>
        <w:spacing w:line="360" w:lineRule="auto"/>
        <w:ind w:firstLine="440" w:firstLineChars="200"/>
        <w:rPr>
          <w:rFonts w:ascii="仿宋" w:hAnsi="仿宋" w:eastAsia="仿宋"/>
          <w:sz w:val="22"/>
          <w:szCs w:val="32"/>
        </w:rPr>
      </w:pPr>
      <w:r>
        <w:rPr>
          <w:rFonts w:hint="eastAsia" w:ascii="仿宋" w:hAnsi="仿宋" w:eastAsia="仿宋"/>
          <w:sz w:val="22"/>
          <w:szCs w:val="32"/>
        </w:rPr>
        <w:t>（</w:t>
      </w:r>
      <w:r>
        <w:rPr>
          <w:rFonts w:ascii="仿宋" w:hAnsi="仿宋" w:eastAsia="仿宋"/>
          <w:sz w:val="22"/>
          <w:szCs w:val="32"/>
        </w:rPr>
        <w:t>4</w:t>
      </w:r>
      <w:r>
        <w:rPr>
          <w:rFonts w:hint="eastAsia" w:ascii="仿宋" w:hAnsi="仿宋" w:eastAsia="仿宋"/>
          <w:sz w:val="22"/>
          <w:szCs w:val="32"/>
        </w:rPr>
        <w:t>）重大活动现场及节假日保障支撑服务，提供不限次数的全免费技术保障服务。</w:t>
      </w:r>
      <w:bookmarkEnd w:id="0"/>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rebuchet MS">
    <w:panose1 w:val="020B0603020202020204"/>
    <w:charset w:val="00"/>
    <w:family w:val="swiss"/>
    <w:pitch w:val="default"/>
    <w:sig w:usb0="00000687" w:usb1="00000000" w:usb2="00000000" w:usb3="00000000" w:csb0="2000009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rPr>
      <w:id w:val="1910879082"/>
      <w:docPartObj>
        <w:docPartGallery w:val="autotext"/>
      </w:docPartObj>
    </w:sdtPr>
    <w:sdtEndPr>
      <w:rPr>
        <w:rFonts w:hint="eastAsia"/>
      </w:rPr>
    </w:sdtEndPr>
    <w:sdtContent>
      <w:p w14:paraId="6D633221">
        <w:pPr>
          <w:pStyle w:val="6"/>
          <w:jc w:val="center"/>
        </w:pPr>
        <w:r>
          <w:rPr>
            <w:rFonts w:hint="eastAsia"/>
          </w:rPr>
          <w:fldChar w:fldCharType="begin"/>
        </w:r>
        <w:r>
          <w:rPr>
            <w:rFonts w:hint="eastAsia"/>
          </w:rPr>
          <w:instrText xml:space="preserve">PAGE   \* MERGEFORMAT</w:instrText>
        </w:r>
        <w:r>
          <w:rPr>
            <w:rFonts w:hint="eastAsia"/>
          </w:rPr>
          <w:fldChar w:fldCharType="separate"/>
        </w:r>
        <w:r>
          <w:rPr>
            <w:rFonts w:hint="eastAsia"/>
          </w:rPr>
          <w:t>1</w:t>
        </w:r>
        <w:r>
          <w:rPr>
            <w:rFonts w:hint="eastAsia"/>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9AB30"/>
    <w:multiLevelType w:val="multilevel"/>
    <w:tmpl w:val="E2A9AB30"/>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058"/>
    <w:rsid w:val="000058B9"/>
    <w:rsid w:val="00011ACF"/>
    <w:rsid w:val="0001333C"/>
    <w:rsid w:val="00014D3C"/>
    <w:rsid w:val="00016C1B"/>
    <w:rsid w:val="0002490F"/>
    <w:rsid w:val="00035A08"/>
    <w:rsid w:val="00051FD8"/>
    <w:rsid w:val="000534FF"/>
    <w:rsid w:val="000716AB"/>
    <w:rsid w:val="00083108"/>
    <w:rsid w:val="0008371F"/>
    <w:rsid w:val="00087C3A"/>
    <w:rsid w:val="00091C5D"/>
    <w:rsid w:val="00094C6D"/>
    <w:rsid w:val="00097568"/>
    <w:rsid w:val="000A50C6"/>
    <w:rsid w:val="000A64D3"/>
    <w:rsid w:val="000A6E5B"/>
    <w:rsid w:val="000B0C00"/>
    <w:rsid w:val="000F0E46"/>
    <w:rsid w:val="000F1147"/>
    <w:rsid w:val="000F3025"/>
    <w:rsid w:val="00106179"/>
    <w:rsid w:val="00110921"/>
    <w:rsid w:val="00116CBA"/>
    <w:rsid w:val="001176EA"/>
    <w:rsid w:val="00117862"/>
    <w:rsid w:val="00126146"/>
    <w:rsid w:val="0012652D"/>
    <w:rsid w:val="00126FAC"/>
    <w:rsid w:val="00133C25"/>
    <w:rsid w:val="001473AC"/>
    <w:rsid w:val="00155672"/>
    <w:rsid w:val="001655A0"/>
    <w:rsid w:val="00167F21"/>
    <w:rsid w:val="00170997"/>
    <w:rsid w:val="00177B11"/>
    <w:rsid w:val="001A7195"/>
    <w:rsid w:val="001B298E"/>
    <w:rsid w:val="001B48F3"/>
    <w:rsid w:val="001C19DC"/>
    <w:rsid w:val="001E09E6"/>
    <w:rsid w:val="00200BE9"/>
    <w:rsid w:val="00203FC6"/>
    <w:rsid w:val="00212E07"/>
    <w:rsid w:val="00230A70"/>
    <w:rsid w:val="0023658E"/>
    <w:rsid w:val="00242CF2"/>
    <w:rsid w:val="0029152D"/>
    <w:rsid w:val="002944BF"/>
    <w:rsid w:val="002B2EDB"/>
    <w:rsid w:val="002C2FDD"/>
    <w:rsid w:val="002D3376"/>
    <w:rsid w:val="002D4015"/>
    <w:rsid w:val="002D6EBA"/>
    <w:rsid w:val="002E329F"/>
    <w:rsid w:val="002E6BFB"/>
    <w:rsid w:val="002E7248"/>
    <w:rsid w:val="002F39BE"/>
    <w:rsid w:val="002F6ABF"/>
    <w:rsid w:val="00316AF8"/>
    <w:rsid w:val="00325092"/>
    <w:rsid w:val="00327907"/>
    <w:rsid w:val="0034237E"/>
    <w:rsid w:val="0035511C"/>
    <w:rsid w:val="0036727E"/>
    <w:rsid w:val="0037218A"/>
    <w:rsid w:val="00381C7D"/>
    <w:rsid w:val="003A27AD"/>
    <w:rsid w:val="003A5A89"/>
    <w:rsid w:val="003C5101"/>
    <w:rsid w:val="003D5622"/>
    <w:rsid w:val="003F6F62"/>
    <w:rsid w:val="00405C67"/>
    <w:rsid w:val="00425EB3"/>
    <w:rsid w:val="00434AB1"/>
    <w:rsid w:val="00445F65"/>
    <w:rsid w:val="00446268"/>
    <w:rsid w:val="0044699A"/>
    <w:rsid w:val="00452A1A"/>
    <w:rsid w:val="00480646"/>
    <w:rsid w:val="0049185E"/>
    <w:rsid w:val="004A62E0"/>
    <w:rsid w:val="004B6D7C"/>
    <w:rsid w:val="004D7FF7"/>
    <w:rsid w:val="004F7256"/>
    <w:rsid w:val="00503A25"/>
    <w:rsid w:val="0051343A"/>
    <w:rsid w:val="005329F5"/>
    <w:rsid w:val="00534223"/>
    <w:rsid w:val="00560093"/>
    <w:rsid w:val="00561EF1"/>
    <w:rsid w:val="00564E7F"/>
    <w:rsid w:val="00567F11"/>
    <w:rsid w:val="00575428"/>
    <w:rsid w:val="00584F6C"/>
    <w:rsid w:val="005862BC"/>
    <w:rsid w:val="00597AD8"/>
    <w:rsid w:val="005A0376"/>
    <w:rsid w:val="005A47A2"/>
    <w:rsid w:val="005A7DF5"/>
    <w:rsid w:val="005B329E"/>
    <w:rsid w:val="005B5789"/>
    <w:rsid w:val="005C1431"/>
    <w:rsid w:val="005C285C"/>
    <w:rsid w:val="005C3AC4"/>
    <w:rsid w:val="005D5C06"/>
    <w:rsid w:val="005D5D33"/>
    <w:rsid w:val="005F1234"/>
    <w:rsid w:val="005F3BCB"/>
    <w:rsid w:val="005F67DB"/>
    <w:rsid w:val="005F77EE"/>
    <w:rsid w:val="00613488"/>
    <w:rsid w:val="00614458"/>
    <w:rsid w:val="00616A2B"/>
    <w:rsid w:val="006219BC"/>
    <w:rsid w:val="00631BAA"/>
    <w:rsid w:val="006336E5"/>
    <w:rsid w:val="00636058"/>
    <w:rsid w:val="00636869"/>
    <w:rsid w:val="0064410E"/>
    <w:rsid w:val="006629A1"/>
    <w:rsid w:val="00665F15"/>
    <w:rsid w:val="006728D4"/>
    <w:rsid w:val="006762AF"/>
    <w:rsid w:val="006859A2"/>
    <w:rsid w:val="0069432B"/>
    <w:rsid w:val="00695EB1"/>
    <w:rsid w:val="006B212C"/>
    <w:rsid w:val="006B2A74"/>
    <w:rsid w:val="006C11EB"/>
    <w:rsid w:val="006E744A"/>
    <w:rsid w:val="006F0964"/>
    <w:rsid w:val="006F25F7"/>
    <w:rsid w:val="006F3649"/>
    <w:rsid w:val="006F3FC4"/>
    <w:rsid w:val="006F4427"/>
    <w:rsid w:val="007179A2"/>
    <w:rsid w:val="00720CB9"/>
    <w:rsid w:val="0072217B"/>
    <w:rsid w:val="00733FCF"/>
    <w:rsid w:val="00735BF9"/>
    <w:rsid w:val="00736A6B"/>
    <w:rsid w:val="00743F19"/>
    <w:rsid w:val="007448AD"/>
    <w:rsid w:val="007668C8"/>
    <w:rsid w:val="00772C63"/>
    <w:rsid w:val="00792F33"/>
    <w:rsid w:val="007A1610"/>
    <w:rsid w:val="007A6AC0"/>
    <w:rsid w:val="007B6666"/>
    <w:rsid w:val="007B7A91"/>
    <w:rsid w:val="007E5CAD"/>
    <w:rsid w:val="007F07F8"/>
    <w:rsid w:val="008067CF"/>
    <w:rsid w:val="008076E5"/>
    <w:rsid w:val="0081082F"/>
    <w:rsid w:val="00814022"/>
    <w:rsid w:val="00815CD2"/>
    <w:rsid w:val="00817302"/>
    <w:rsid w:val="00820AF4"/>
    <w:rsid w:val="00826C69"/>
    <w:rsid w:val="008273C2"/>
    <w:rsid w:val="00837062"/>
    <w:rsid w:val="00837BB9"/>
    <w:rsid w:val="008476FE"/>
    <w:rsid w:val="00847D21"/>
    <w:rsid w:val="00852F17"/>
    <w:rsid w:val="0085621C"/>
    <w:rsid w:val="00856F5F"/>
    <w:rsid w:val="0086185C"/>
    <w:rsid w:val="008924C5"/>
    <w:rsid w:val="008A325C"/>
    <w:rsid w:val="008A49C0"/>
    <w:rsid w:val="008C306F"/>
    <w:rsid w:val="008C676E"/>
    <w:rsid w:val="008D6192"/>
    <w:rsid w:val="008F1ACF"/>
    <w:rsid w:val="008F29DD"/>
    <w:rsid w:val="009002DF"/>
    <w:rsid w:val="00912B94"/>
    <w:rsid w:val="00913FC8"/>
    <w:rsid w:val="00916B00"/>
    <w:rsid w:val="009176FE"/>
    <w:rsid w:val="009224FE"/>
    <w:rsid w:val="00940524"/>
    <w:rsid w:val="00942661"/>
    <w:rsid w:val="00942F32"/>
    <w:rsid w:val="00961261"/>
    <w:rsid w:val="00975706"/>
    <w:rsid w:val="00984B75"/>
    <w:rsid w:val="009C1C0E"/>
    <w:rsid w:val="009C3149"/>
    <w:rsid w:val="009C5FE5"/>
    <w:rsid w:val="009C6832"/>
    <w:rsid w:val="009F22A4"/>
    <w:rsid w:val="00A03A77"/>
    <w:rsid w:val="00A05E9E"/>
    <w:rsid w:val="00A060E1"/>
    <w:rsid w:val="00A30704"/>
    <w:rsid w:val="00A36388"/>
    <w:rsid w:val="00A364AE"/>
    <w:rsid w:val="00A41667"/>
    <w:rsid w:val="00A43765"/>
    <w:rsid w:val="00A46273"/>
    <w:rsid w:val="00A46A4F"/>
    <w:rsid w:val="00A706F7"/>
    <w:rsid w:val="00A73AC7"/>
    <w:rsid w:val="00A74EFE"/>
    <w:rsid w:val="00A80A07"/>
    <w:rsid w:val="00A8110E"/>
    <w:rsid w:val="00A81E51"/>
    <w:rsid w:val="00A8218C"/>
    <w:rsid w:val="00A8659E"/>
    <w:rsid w:val="00A95A57"/>
    <w:rsid w:val="00AC39B2"/>
    <w:rsid w:val="00AC73D2"/>
    <w:rsid w:val="00AD017C"/>
    <w:rsid w:val="00AD4F1B"/>
    <w:rsid w:val="00AE36C4"/>
    <w:rsid w:val="00B03001"/>
    <w:rsid w:val="00B06A65"/>
    <w:rsid w:val="00B13306"/>
    <w:rsid w:val="00B1503A"/>
    <w:rsid w:val="00B15206"/>
    <w:rsid w:val="00B2521C"/>
    <w:rsid w:val="00B31985"/>
    <w:rsid w:val="00B35EDB"/>
    <w:rsid w:val="00B533F2"/>
    <w:rsid w:val="00B70A6C"/>
    <w:rsid w:val="00B71833"/>
    <w:rsid w:val="00B82CAF"/>
    <w:rsid w:val="00B834EC"/>
    <w:rsid w:val="00B86FA4"/>
    <w:rsid w:val="00BA6DBE"/>
    <w:rsid w:val="00BA77B7"/>
    <w:rsid w:val="00BA799C"/>
    <w:rsid w:val="00BB6126"/>
    <w:rsid w:val="00BC603A"/>
    <w:rsid w:val="00BC6335"/>
    <w:rsid w:val="00BC7CB3"/>
    <w:rsid w:val="00BD61FE"/>
    <w:rsid w:val="00BF22D8"/>
    <w:rsid w:val="00BF4724"/>
    <w:rsid w:val="00BF5DA5"/>
    <w:rsid w:val="00C0167E"/>
    <w:rsid w:val="00C016C7"/>
    <w:rsid w:val="00C12872"/>
    <w:rsid w:val="00C22A11"/>
    <w:rsid w:val="00C462C0"/>
    <w:rsid w:val="00C47D31"/>
    <w:rsid w:val="00C54661"/>
    <w:rsid w:val="00C826E6"/>
    <w:rsid w:val="00C94B3A"/>
    <w:rsid w:val="00CA0536"/>
    <w:rsid w:val="00CA5CDE"/>
    <w:rsid w:val="00CA7C26"/>
    <w:rsid w:val="00CB4D3E"/>
    <w:rsid w:val="00CC48AF"/>
    <w:rsid w:val="00CD78D0"/>
    <w:rsid w:val="00CE69E1"/>
    <w:rsid w:val="00D01023"/>
    <w:rsid w:val="00D035F9"/>
    <w:rsid w:val="00D04516"/>
    <w:rsid w:val="00D054AC"/>
    <w:rsid w:val="00D114AA"/>
    <w:rsid w:val="00D1195F"/>
    <w:rsid w:val="00D17708"/>
    <w:rsid w:val="00D5148E"/>
    <w:rsid w:val="00D64259"/>
    <w:rsid w:val="00D675F3"/>
    <w:rsid w:val="00D71CFB"/>
    <w:rsid w:val="00D731B0"/>
    <w:rsid w:val="00D830C5"/>
    <w:rsid w:val="00D85E69"/>
    <w:rsid w:val="00DB50D7"/>
    <w:rsid w:val="00E41204"/>
    <w:rsid w:val="00E46FC0"/>
    <w:rsid w:val="00E47E07"/>
    <w:rsid w:val="00E52F18"/>
    <w:rsid w:val="00E61694"/>
    <w:rsid w:val="00E75E8E"/>
    <w:rsid w:val="00E76882"/>
    <w:rsid w:val="00E949BA"/>
    <w:rsid w:val="00EA4696"/>
    <w:rsid w:val="00EC43E4"/>
    <w:rsid w:val="00ED1A80"/>
    <w:rsid w:val="00ED620C"/>
    <w:rsid w:val="00F4491A"/>
    <w:rsid w:val="00F44DE5"/>
    <w:rsid w:val="00F458CE"/>
    <w:rsid w:val="00F514F2"/>
    <w:rsid w:val="00F5168E"/>
    <w:rsid w:val="00F5491B"/>
    <w:rsid w:val="00F550A3"/>
    <w:rsid w:val="00F55BF3"/>
    <w:rsid w:val="00F60A62"/>
    <w:rsid w:val="00F708F2"/>
    <w:rsid w:val="00F85486"/>
    <w:rsid w:val="00F85FA3"/>
    <w:rsid w:val="00F91423"/>
    <w:rsid w:val="00F962AC"/>
    <w:rsid w:val="00F96692"/>
    <w:rsid w:val="00FA0E80"/>
    <w:rsid w:val="00FA63A3"/>
    <w:rsid w:val="00FB4222"/>
    <w:rsid w:val="00FC1532"/>
    <w:rsid w:val="00FC49D2"/>
    <w:rsid w:val="00FC6D34"/>
    <w:rsid w:val="00FD3539"/>
    <w:rsid w:val="00FE2DFF"/>
    <w:rsid w:val="00FE34C0"/>
    <w:rsid w:val="00FF496E"/>
    <w:rsid w:val="0BEF28E9"/>
    <w:rsid w:val="2A5C3505"/>
    <w:rsid w:val="4B9A7E27"/>
    <w:rsid w:val="725025BC"/>
    <w:rsid w:val="7A130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0"/>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paragraph" w:styleId="4">
    <w:name w:val="heading 3"/>
    <w:basedOn w:val="1"/>
    <w:next w:val="1"/>
    <w:link w:val="21"/>
    <w:unhideWhenUsed/>
    <w:qFormat/>
    <w:uiPriority w:val="9"/>
    <w:pPr>
      <w:keepNext/>
      <w:keepLines/>
      <w:widowControl/>
      <w:spacing w:before="260" w:after="260" w:line="416" w:lineRule="auto"/>
      <w:jc w:val="left"/>
      <w:outlineLvl w:val="2"/>
    </w:pPr>
    <w:rPr>
      <w:rFonts w:ascii="Trebuchet MS" w:hAnsi="Trebuchet MS" w:eastAsia="宋体" w:cs="Times New Roman"/>
      <w:b/>
      <w:bCs/>
      <w:kern w:val="0"/>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26"/>
    <w:semiHidden/>
    <w:unhideWhenUsed/>
    <w:qFormat/>
    <w:uiPriority w:val="99"/>
    <w:pPr>
      <w:spacing w:after="120"/>
      <w:ind w:left="420" w:leftChars="200"/>
    </w:p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widowControl/>
      <w:spacing w:after="100" w:line="259" w:lineRule="auto"/>
      <w:jc w:val="left"/>
    </w:pPr>
    <w:rPr>
      <w:rFonts w:cs="Times New Roman"/>
      <w:kern w:val="0"/>
      <w:sz w:val="22"/>
    </w:rPr>
  </w:style>
  <w:style w:type="paragraph" w:styleId="9">
    <w:name w:val="Body Text Indent 3"/>
    <w:basedOn w:val="1"/>
    <w:link w:val="25"/>
    <w:qFormat/>
    <w:uiPriority w:val="0"/>
    <w:pPr>
      <w:widowControl/>
      <w:spacing w:line="440" w:lineRule="atLeast"/>
      <w:ind w:firstLine="480" w:firstLineChars="200"/>
      <w:jc w:val="left"/>
    </w:pPr>
    <w:rPr>
      <w:rFonts w:ascii="Times New Roman" w:hAnsi="Times New Roman" w:eastAsia="宋体" w:cs="Times New Roman"/>
      <w:kern w:val="0"/>
      <w:sz w:val="24"/>
      <w:szCs w:val="24"/>
    </w:rPr>
  </w:style>
  <w:style w:type="paragraph" w:styleId="10">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1">
    <w:name w:val="Body Text First Indent 2"/>
    <w:basedOn w:val="5"/>
    <w:link w:val="27"/>
    <w:semiHidden/>
    <w:unhideWhenUsed/>
    <w:qFormat/>
    <w:uiPriority w:val="99"/>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color w:val="0000FF"/>
      <w:u w:val="single"/>
    </w:rPr>
  </w:style>
  <w:style w:type="character" w:customStyle="1" w:styleId="16">
    <w:name w:val="页眉 字符"/>
    <w:basedOn w:val="14"/>
    <w:link w:val="7"/>
    <w:qFormat/>
    <w:uiPriority w:val="99"/>
    <w:rPr>
      <w:sz w:val="18"/>
      <w:szCs w:val="18"/>
    </w:rPr>
  </w:style>
  <w:style w:type="character" w:customStyle="1" w:styleId="17">
    <w:name w:val="页脚 字符"/>
    <w:basedOn w:val="14"/>
    <w:link w:val="6"/>
    <w:qFormat/>
    <w:uiPriority w:val="99"/>
    <w:rPr>
      <w:sz w:val="18"/>
      <w:szCs w:val="18"/>
    </w:rPr>
  </w:style>
  <w:style w:type="paragraph" w:styleId="18">
    <w:name w:val="List Paragraph"/>
    <w:basedOn w:val="1"/>
    <w:link w:val="19"/>
    <w:qFormat/>
    <w:uiPriority w:val="34"/>
    <w:pPr>
      <w:widowControl/>
      <w:spacing w:after="200" w:line="276" w:lineRule="auto"/>
      <w:ind w:left="720"/>
      <w:contextualSpacing/>
      <w:jc w:val="left"/>
    </w:pPr>
    <w:rPr>
      <w:rFonts w:ascii="Calibri" w:hAnsi="Calibri" w:eastAsia="宋体" w:cs="Times New Roman"/>
      <w:kern w:val="0"/>
      <w:sz w:val="22"/>
    </w:rPr>
  </w:style>
  <w:style w:type="character" w:customStyle="1" w:styleId="19">
    <w:name w:val="列表段落 字符"/>
    <w:link w:val="18"/>
    <w:qFormat/>
    <w:uiPriority w:val="0"/>
    <w:rPr>
      <w:rFonts w:ascii="Calibri" w:hAnsi="Calibri" w:eastAsia="宋体" w:cs="Times New Roman"/>
      <w:kern w:val="0"/>
      <w:sz w:val="22"/>
    </w:rPr>
  </w:style>
  <w:style w:type="character" w:customStyle="1" w:styleId="20">
    <w:name w:val="标题 2 字符"/>
    <w:basedOn w:val="14"/>
    <w:link w:val="3"/>
    <w:qFormat/>
    <w:uiPriority w:val="9"/>
    <w:rPr>
      <w:rFonts w:asciiTheme="majorHAnsi" w:hAnsiTheme="majorHAnsi" w:eastAsiaTheme="majorEastAsia" w:cstheme="majorBidi"/>
      <w:b/>
      <w:bCs/>
      <w:kern w:val="0"/>
      <w:sz w:val="32"/>
      <w:szCs w:val="32"/>
    </w:rPr>
  </w:style>
  <w:style w:type="character" w:customStyle="1" w:styleId="21">
    <w:name w:val="标题 3 字符"/>
    <w:basedOn w:val="14"/>
    <w:link w:val="4"/>
    <w:qFormat/>
    <w:uiPriority w:val="9"/>
    <w:rPr>
      <w:rFonts w:ascii="Trebuchet MS" w:hAnsi="Trebuchet MS" w:eastAsia="宋体" w:cs="Times New Roman"/>
      <w:b/>
      <w:bCs/>
      <w:kern w:val="0"/>
      <w:sz w:val="32"/>
      <w:szCs w:val="32"/>
    </w:rPr>
  </w:style>
  <w:style w:type="character" w:customStyle="1" w:styleId="22">
    <w:name w:val="标题 1 字符"/>
    <w:basedOn w:val="14"/>
    <w:link w:val="2"/>
    <w:qFormat/>
    <w:uiPriority w:val="9"/>
    <w:rPr>
      <w:b/>
      <w:bCs/>
      <w:kern w:val="44"/>
      <w:sz w:val="44"/>
      <w:szCs w:val="44"/>
    </w:rPr>
  </w:style>
  <w:style w:type="paragraph" w:customStyle="1" w:styleId="23">
    <w:name w:val="_paragraph_1h3l3_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4">
    <w:name w:val="tts-b-hl"/>
    <w:basedOn w:val="14"/>
    <w:qFormat/>
    <w:uiPriority w:val="0"/>
  </w:style>
  <w:style w:type="character" w:customStyle="1" w:styleId="25">
    <w:name w:val="正文文本缩进 3 字符"/>
    <w:basedOn w:val="14"/>
    <w:link w:val="9"/>
    <w:qFormat/>
    <w:uiPriority w:val="0"/>
    <w:rPr>
      <w:rFonts w:ascii="Times New Roman" w:hAnsi="Times New Roman" w:eastAsia="宋体" w:cs="Times New Roman"/>
      <w:sz w:val="24"/>
      <w:szCs w:val="24"/>
    </w:rPr>
  </w:style>
  <w:style w:type="character" w:customStyle="1" w:styleId="26">
    <w:name w:val="正文文本缩进 字符"/>
    <w:basedOn w:val="14"/>
    <w:link w:val="5"/>
    <w:semiHidden/>
    <w:qFormat/>
    <w:uiPriority w:val="99"/>
    <w:rPr>
      <w:kern w:val="2"/>
      <w:sz w:val="21"/>
      <w:szCs w:val="22"/>
    </w:rPr>
  </w:style>
  <w:style w:type="character" w:customStyle="1" w:styleId="27">
    <w:name w:val="正文文本首行缩进 2 字符"/>
    <w:basedOn w:val="26"/>
    <w:link w:val="11"/>
    <w:semiHidden/>
    <w:qFormat/>
    <w:uiPriority w:val="99"/>
    <w:rPr>
      <w:kern w:val="2"/>
      <w:sz w:val="21"/>
      <w:szCs w:val="22"/>
    </w:rPr>
  </w:style>
  <w:style w:type="character" w:customStyle="1" w:styleId="28">
    <w:name w:val="Plain Text Char Char"/>
    <w:link w:val="29"/>
    <w:qFormat/>
    <w:uiPriority w:val="0"/>
    <w:rPr>
      <w:rFonts w:ascii="宋体" w:hAnsi="Courier New" w:eastAsia="楷体_GB2312"/>
      <w:sz w:val="26"/>
      <w:szCs w:val="24"/>
    </w:rPr>
  </w:style>
  <w:style w:type="paragraph" w:customStyle="1" w:styleId="29">
    <w:name w:val="纯文本1"/>
    <w:basedOn w:val="1"/>
    <w:link w:val="28"/>
    <w:qFormat/>
    <w:uiPriority w:val="0"/>
    <w:pPr>
      <w:adjustRightInd w:val="0"/>
    </w:pPr>
    <w:rPr>
      <w:rFonts w:ascii="宋体" w:hAnsi="Courier New" w:eastAsia="楷体_GB2312"/>
      <w:kern w:val="0"/>
      <w:sz w:val="26"/>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08D4-145A-410C-8D1D-4EA3BBCE3AD0}">
  <ds:schemaRefs/>
</ds:datastoreItem>
</file>

<file path=docProps/app.xml><?xml version="1.0" encoding="utf-8"?>
<Properties xmlns="http://schemas.openxmlformats.org/officeDocument/2006/extended-properties" xmlns:vt="http://schemas.openxmlformats.org/officeDocument/2006/docPropsVTypes">
  <Template>Normal</Template>
  <Pages>2</Pages>
  <Words>1408</Words>
  <Characters>1530</Characters>
  <Lines>15</Lines>
  <Paragraphs>4</Paragraphs>
  <TotalTime>0</TotalTime>
  <ScaleCrop>false</ScaleCrop>
  <LinksUpToDate>false</LinksUpToDate>
  <CharactersWithSpaces>1536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2025-05-16T08:18:00Z</dcterms:created>
  <dc:creator>1</dc:creator>
  <cp:lastModifiedBy>刘永琴</cp:lastModifiedBy>
  <dcterms:modified xsi:type="dcterms:W3CDTF">2025-05-19T07:07:41Z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eyJoZGlkIjoiMzExMzA2OWE1NzMwYWI4YTE3MjYxMTEyOWM2NTNhMmEiLCJ1c2VySWQiOiI1NDcxMDkxNzMifQ==</vt:lpwstr>
  </property>
  <property fmtid="{D5CDD505-2E9C-101B-9397-08002B2CF9AE}" pid="3" name="KSOProductBuildVer">
    <vt:lpwstr>2052-12.1.0.20784</vt:lpwstr>
  </property>
  <property fmtid="{D5CDD505-2E9C-101B-9397-08002B2CF9AE}" pid="4" name="ICV">
    <vt:lpwstr>D5263D9EDC97493FBD8885C970E6A5CD_13</vt:lpwstr>
  </property>
</Properties>
</file>